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2C16D" w14:textId="77777777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  <w:t>Exercise 1</w:t>
      </w:r>
    </w:p>
    <w:p w14:paraId="4CEEA886" w14:textId="3A43350F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A company is considering buying in a new product from a supplier at £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350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per unit.</w:t>
      </w:r>
    </w:p>
    <w:p w14:paraId="59D744AD" w14:textId="7ABD583A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</w:t>
      </w:r>
    </w:p>
    <w:p w14:paraId="6E71B13E" w14:textId="4AACDFCC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To produce ‘in house’ the fixed cost per year would be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£1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3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0,000, and the total variable costs would be £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8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0 per part.</w:t>
      </w:r>
    </w:p>
    <w:p w14:paraId="2D4ADBA1" w14:textId="3A619EA7" w:rsidR="004C38E0" w:rsidRPr="002202D7" w:rsidRDefault="004C38E0" w:rsidP="00227222">
      <w:pPr>
        <w:jc w:val="both"/>
        <w:rPr>
          <w:rFonts w:cstheme="minorHAnsi"/>
          <w:sz w:val="24"/>
          <w:szCs w:val="24"/>
        </w:rPr>
      </w:pPr>
    </w:p>
    <w:p w14:paraId="41517DF2" w14:textId="77D3654B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Using the graphical method and the mathematical method, w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hat would be the break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-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even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point in terms of volume and cost for the make or buy </w:t>
      </w:r>
      <w:proofErr w:type="gramStart"/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decision ?</w:t>
      </w:r>
      <w:proofErr w:type="gramEnd"/>
    </w:p>
    <w:p w14:paraId="03E1EC81" w14:textId="0D3AC6E4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22ECCAE2" w14:textId="4B9EFE4E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  <w:t>Mathematical Method:</w:t>
      </w:r>
    </w:p>
    <w:p w14:paraId="2D8EDFC3" w14:textId="5D2B051E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56704276" w14:textId="5ABD9AE1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Q = Fc / (R-v)</w:t>
      </w:r>
    </w:p>
    <w:p w14:paraId="36EB9BEE" w14:textId="4D71B715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Q = 130,000 / (350-80)</w:t>
      </w:r>
    </w:p>
    <w:p w14:paraId="1E89870F" w14:textId="6A8F08D5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Q = 482 products</w:t>
      </w:r>
    </w:p>
    <w:p w14:paraId="283687BC" w14:textId="4F0204D9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1B80D299" w14:textId="27276798" w:rsidR="00E54366" w:rsidRPr="002202D7" w:rsidRDefault="002202D7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At 482 products, the cost of outsourcing matches the cost of making ‘in house’. This is an outsourcing strategic decision point </w:t>
      </w:r>
    </w:p>
    <w:p w14:paraId="12B97183" w14:textId="3E8D4578" w:rsidR="00E54366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4CAEE815" w14:textId="31375AB4" w:rsidR="002202D7" w:rsidRPr="00430B8C" w:rsidRDefault="002202D7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</w:pPr>
      <w:r w:rsidRPr="00430B8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  <w:t>Graphical Method:</w:t>
      </w:r>
    </w:p>
    <w:p w14:paraId="339F79EB" w14:textId="35939037" w:rsidR="002202D7" w:rsidRPr="002202D7" w:rsidRDefault="00430B8C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063EC" wp14:editId="2D234217">
                <wp:simplePos x="0" y="0"/>
                <wp:positionH relativeFrom="column">
                  <wp:posOffset>1577340</wp:posOffset>
                </wp:positionH>
                <wp:positionV relativeFrom="paragraph">
                  <wp:posOffset>974090</wp:posOffset>
                </wp:positionV>
                <wp:extent cx="777240" cy="6096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880A1" w14:textId="77777777" w:rsidR="00430B8C" w:rsidRPr="00430B8C" w:rsidRDefault="00430B8C" w:rsidP="0043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0B8C">
                              <w:rPr>
                                <w:b/>
                                <w:bCs/>
                              </w:rPr>
                              <w:t>Approx:</w:t>
                            </w:r>
                          </w:p>
                          <w:p w14:paraId="29BC9898" w14:textId="3CAB44EC" w:rsidR="00430B8C" w:rsidRPr="00430B8C" w:rsidRDefault="00430B8C" w:rsidP="0043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0B8C">
                              <w:rPr>
                                <w:b/>
                                <w:bCs/>
                              </w:rPr>
                              <w:t>482 parts</w:t>
                            </w:r>
                          </w:p>
                          <w:p w14:paraId="305B9A3F" w14:textId="7FE22746" w:rsidR="00430B8C" w:rsidRPr="00430B8C" w:rsidRDefault="00430B8C" w:rsidP="0043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0B8C">
                              <w:rPr>
                                <w:b/>
                                <w:bCs/>
                              </w:rPr>
                              <w:t>£185,000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6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2pt;margin-top:76.7pt;width:61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" fillcolor="white [3201]" stroked="f" strokeweight=".5pt">
                <v:textbox>
                  <w:txbxContent>
                    <w:p w14:paraId="23E880A1" w14:textId="77777777" w:rsidR="00430B8C" w:rsidRPr="00430B8C" w:rsidRDefault="00430B8C" w:rsidP="00430B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30B8C">
                        <w:rPr>
                          <w:b/>
                          <w:bCs/>
                        </w:rPr>
                        <w:t>Approx:</w:t>
                      </w:r>
                    </w:p>
                    <w:p w14:paraId="29BC9898" w14:textId="3CAB44EC" w:rsidR="00430B8C" w:rsidRPr="00430B8C" w:rsidRDefault="00430B8C" w:rsidP="00430B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30B8C">
                        <w:rPr>
                          <w:b/>
                          <w:bCs/>
                        </w:rPr>
                        <w:t>482 parts</w:t>
                      </w:r>
                    </w:p>
                    <w:p w14:paraId="305B9A3F" w14:textId="7FE22746" w:rsidR="00430B8C" w:rsidRPr="00430B8C" w:rsidRDefault="00430B8C" w:rsidP="00430B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30B8C">
                        <w:rPr>
                          <w:b/>
                          <w:bCs/>
                        </w:rPr>
                        <w:t>£185,000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DF9A0D" wp14:editId="117FE00A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EB0CBE1-ED2B-4658-BB5E-72F9937FB9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598EB031" w14:textId="520A356C" w:rsidR="00E54366" w:rsidRPr="002202D7" w:rsidRDefault="00E54366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48837A86" w14:textId="77004B01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614A6DE2" w14:textId="5ED6F70A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</w:rPr>
        <w:t>Exercise 2</w:t>
      </w:r>
    </w:p>
    <w:p w14:paraId="4E1050B2" w14:textId="2C2F236E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ABC Limited is a manufacturing company. It has been asked by a customer to manufacture a new product. However, ABC are unsure whether they could produce the product in the time or to the quality that the customer needs in such a short period of time. The company has decided to outsource the product in the early stages until they can assure themselves </w:t>
      </w:r>
      <w:proofErr w:type="spellStart"/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that </w:t>
      </w:r>
      <w:proofErr w:type="spellEnd"/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they can produce the product correctly. </w:t>
      </w:r>
    </w:p>
    <w:p w14:paraId="276EFBF1" w14:textId="67C4233E" w:rsidR="00227222" w:rsidRPr="002202D7" w:rsidRDefault="00227222" w:rsidP="0022722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14:paraId="6A88E16E" w14:textId="058CA32E" w:rsidR="00227222" w:rsidRPr="002202D7" w:rsidRDefault="00227222" w:rsidP="00227222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List the non-cost related reasons why the company would outsource the product</w:t>
      </w:r>
    </w:p>
    <w:p w14:paraId="253AA4FC" w14:textId="0535078F" w:rsidR="002202D7" w:rsidRPr="002202D7" w:rsidRDefault="002202D7" w:rsidP="002202D7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List the non-cost related reasons why the company would 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produce the product ‘in house’</w:t>
      </w:r>
    </w:p>
    <w:p w14:paraId="2A56A01C" w14:textId="5E6FB856" w:rsidR="00227222" w:rsidRPr="002202D7" w:rsidRDefault="00227222" w:rsidP="00227222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List the cost related reasons why the company would outsource the product.</w:t>
      </w:r>
    </w:p>
    <w:p w14:paraId="334D91F8" w14:textId="3F65D452" w:rsidR="002202D7" w:rsidRPr="002202D7" w:rsidRDefault="002202D7" w:rsidP="002202D7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lastRenderedPageBreak/>
        <w:t xml:space="preserve">List the cost related reasons why the company would 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produce the product ‘in house’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.</w:t>
      </w:r>
    </w:p>
    <w:p w14:paraId="7EFFAEB4" w14:textId="77777777" w:rsidR="002202D7" w:rsidRPr="00F46130" w:rsidRDefault="002202D7" w:rsidP="002202D7">
      <w:pPr>
        <w:pStyle w:val="Normal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16767264" w14:textId="7367CE37" w:rsidR="002202D7" w:rsidRPr="002202D7" w:rsidRDefault="002202D7" w:rsidP="002202D7">
      <w:pPr>
        <w:pStyle w:val="NormalWeb"/>
        <w:spacing w:before="96" w:beforeAutospacing="0" w:after="0" w:afterAutospacing="0" w:line="192" w:lineRule="auto"/>
        <w:ind w:left="547" w:hanging="547"/>
        <w:textAlignment w:val="baseline"/>
      </w:pPr>
      <w:r>
        <w:rPr>
          <w:rFonts w:asciiTheme="minorHAnsi" w:eastAsiaTheme="minorEastAsia" w:hAnsi="Arial" w:cstheme="minorBidi"/>
          <w:color w:val="FF0000"/>
          <w:kern w:val="24"/>
        </w:rPr>
        <w:t>Outsource</w:t>
      </w:r>
      <w:r w:rsidRPr="002202D7">
        <w:rPr>
          <w:rFonts w:asciiTheme="minorHAnsi" w:eastAsiaTheme="minorEastAsia" w:hAnsi="Arial" w:cstheme="minorBidi"/>
          <w:color w:val="FF0000"/>
          <w:kern w:val="24"/>
        </w:rPr>
        <w:t xml:space="preserve"> Part</w:t>
      </w:r>
      <w:r>
        <w:rPr>
          <w:rFonts w:asciiTheme="minorHAnsi" w:eastAsiaTheme="minorEastAsia" w:hAnsi="Arial" w:cstheme="minorBidi"/>
          <w:color w:val="FF0000"/>
          <w:kern w:val="24"/>
        </w:rPr>
        <w:t xml:space="preserve"> (non-cost) </w:t>
      </w:r>
    </w:p>
    <w:p w14:paraId="590F3693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Lack of </w:t>
      </w:r>
      <w:r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internal </w:t>
      </w: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expertise </w:t>
      </w:r>
    </w:p>
    <w:p w14:paraId="37AD93D9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Suppliers' research and specialized know-how exceeds that of the buyer </w:t>
      </w:r>
    </w:p>
    <w:p w14:paraId="190DBBA2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Small-volume requirements </w:t>
      </w:r>
    </w:p>
    <w:p w14:paraId="3EE3FA7C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Limited production facilities or insufficient capacity </w:t>
      </w:r>
    </w:p>
    <w:p w14:paraId="4B0D4F92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Desire to maintain a multiple-source policy </w:t>
      </w:r>
    </w:p>
    <w:p w14:paraId="58B27CCA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Indirect managerial control considerations </w:t>
      </w:r>
    </w:p>
    <w:p w14:paraId="526A28AC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Procurement and inventory considerations </w:t>
      </w:r>
    </w:p>
    <w:p w14:paraId="4DA73FC7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Brand preference </w:t>
      </w:r>
    </w:p>
    <w:p w14:paraId="24468159" w14:textId="77777777" w:rsidR="002202D7" w:rsidRPr="002202D7" w:rsidRDefault="002202D7" w:rsidP="002202D7">
      <w:pPr>
        <w:pStyle w:val="ListParagraph"/>
        <w:numPr>
          <w:ilvl w:val="0"/>
          <w:numId w:val="3"/>
        </w:numPr>
        <w:tabs>
          <w:tab w:val="clear" w:pos="720"/>
          <w:tab w:val="num" w:pos="1276"/>
        </w:tabs>
        <w:spacing w:line="192" w:lineRule="auto"/>
        <w:ind w:firstLine="131"/>
        <w:textAlignment w:val="baseline"/>
        <w:rPr>
          <w:color w:val="000000"/>
        </w:rPr>
      </w:pPr>
      <w:r w:rsidRPr="002202D7">
        <w:rPr>
          <w:rFonts w:asciiTheme="minorHAnsi" w:eastAsiaTheme="minorEastAsia" w:hAnsi="Arial" w:cstheme="minorBidi"/>
          <w:color w:val="000000" w:themeColor="text1"/>
          <w:kern w:val="24"/>
          <w:lang w:val="en-US"/>
        </w:rPr>
        <w:t xml:space="preserve">Item not essential to the firm's strategy </w:t>
      </w:r>
    </w:p>
    <w:p w14:paraId="0157FD81" w14:textId="6CAE0677" w:rsidR="00227222" w:rsidRDefault="00227222"/>
    <w:p w14:paraId="73010B0A" w14:textId="50730788" w:rsidR="002202D7" w:rsidRPr="002202D7" w:rsidRDefault="002202D7" w:rsidP="002202D7">
      <w:pPr>
        <w:spacing w:before="96"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FF0000"/>
          <w:kern w:val="24"/>
          <w:sz w:val="24"/>
          <w:szCs w:val="24"/>
          <w:lang w:eastAsia="en-GB"/>
        </w:rPr>
        <w:t xml:space="preserve">Make </w:t>
      </w:r>
      <w:proofErr w:type="gramStart"/>
      <w:r w:rsidRPr="002202D7">
        <w:rPr>
          <w:rFonts w:eastAsiaTheme="minorEastAsia" w:hAnsi="Arial"/>
          <w:color w:val="FF0000"/>
          <w:kern w:val="24"/>
          <w:sz w:val="24"/>
          <w:szCs w:val="24"/>
          <w:lang w:eastAsia="en-GB"/>
        </w:rPr>
        <w:t>In</w:t>
      </w:r>
      <w:proofErr w:type="gramEnd"/>
      <w:r w:rsidRPr="002202D7">
        <w:rPr>
          <w:rFonts w:eastAsiaTheme="minorEastAsia" w:hAnsi="Arial"/>
          <w:color w:val="FF0000"/>
          <w:kern w:val="24"/>
          <w:sz w:val="24"/>
          <w:szCs w:val="24"/>
          <w:lang w:eastAsia="en-GB"/>
        </w:rPr>
        <w:t xml:space="preserve"> House</w:t>
      </w:r>
      <w:r>
        <w:rPr>
          <w:rFonts w:eastAsiaTheme="minorEastAsia" w:hAnsi="Arial"/>
          <w:color w:val="FF0000"/>
          <w:kern w:val="24"/>
          <w:sz w:val="24"/>
          <w:szCs w:val="24"/>
          <w:lang w:eastAsia="en-GB"/>
        </w:rPr>
        <w:t xml:space="preserve"> (non-cost)</w:t>
      </w:r>
    </w:p>
    <w:p w14:paraId="58E5EFF9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Productive use of excess plant capacity to help absorb fixed overhead (using existing idle capacity) </w:t>
      </w:r>
    </w:p>
    <w:p w14:paraId="0834071E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Need to exert direct control over production and/or quality </w:t>
      </w:r>
    </w:p>
    <w:p w14:paraId="4F01AD57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Better quality control </w:t>
      </w:r>
    </w:p>
    <w:p w14:paraId="0E63B93A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Design secrecy is required to protect proprietary technology </w:t>
      </w:r>
    </w:p>
    <w:p w14:paraId="22C598A6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Unreliable suppliers </w:t>
      </w:r>
    </w:p>
    <w:p w14:paraId="117DE316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No competent suppliers available</w:t>
      </w:r>
    </w:p>
    <w:p w14:paraId="257D811C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Desire to maintain a stable workforce (in periods of declining sales) </w:t>
      </w:r>
    </w:p>
    <w:p w14:paraId="5ACED8E6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Quantity too small to interest a supplier </w:t>
      </w:r>
    </w:p>
    <w:p w14:paraId="4C63E591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Control of lead time, transportation, and warehousing costs </w:t>
      </w:r>
    </w:p>
    <w:p w14:paraId="2F6AC8BD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Greater assurance of continual supply </w:t>
      </w:r>
    </w:p>
    <w:p w14:paraId="6EB465D4" w14:textId="77777777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Provision of a second source </w:t>
      </w:r>
    </w:p>
    <w:p w14:paraId="649C80C3" w14:textId="30C0C78E" w:rsidR="002202D7" w:rsidRPr="002202D7" w:rsidRDefault="002202D7" w:rsidP="002202D7">
      <w:pPr>
        <w:numPr>
          <w:ilvl w:val="0"/>
          <w:numId w:val="2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202D7">
        <w:rPr>
          <w:rFonts w:eastAsiaTheme="minorEastAsia" w:hAnsi="Arial"/>
          <w:color w:val="000000" w:themeColor="text1"/>
          <w:kern w:val="24"/>
          <w:sz w:val="24"/>
          <w:szCs w:val="24"/>
          <w:lang w:val="en-US"/>
        </w:rPr>
        <w:t>Political, social or environmental reasons</w:t>
      </w:r>
      <w:r w:rsidRPr="002202D7">
        <w:rPr>
          <w:rFonts w:eastAsiaTheme="minorEastAsia" w:hAnsi="Arial"/>
          <w:color w:val="FF0000"/>
          <w:kern w:val="24"/>
          <w:sz w:val="24"/>
          <w:szCs w:val="24"/>
        </w:rPr>
        <w:t xml:space="preserve"> </w:t>
      </w:r>
    </w:p>
    <w:p w14:paraId="6B3B0514" w14:textId="408F327E" w:rsidR="002202D7" w:rsidRPr="002202D7" w:rsidRDefault="002202D7" w:rsidP="002202D7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97283E4" w14:textId="33EB29AE" w:rsidR="002202D7" w:rsidRPr="002202D7" w:rsidRDefault="002202D7" w:rsidP="002202D7">
      <w:pPr>
        <w:pStyle w:val="NormalWeb"/>
        <w:spacing w:before="101" w:beforeAutospacing="0" w:after="0" w:afterAutospacing="0" w:line="192" w:lineRule="auto"/>
        <w:ind w:left="547" w:hanging="547"/>
        <w:textAlignment w:val="baseline"/>
        <w:rPr>
          <w:rFonts w:asciiTheme="minorHAnsi" w:hAnsiTheme="minorHAnsi" w:cstheme="minorHAnsi"/>
        </w:rPr>
      </w:pPr>
      <w:r w:rsidRPr="002202D7">
        <w:rPr>
          <w:rFonts w:asciiTheme="minorHAnsi" w:eastAsiaTheme="minorEastAsia" w:hAnsiTheme="minorHAnsi" w:cstheme="minorHAnsi"/>
          <w:color w:val="FF0000"/>
          <w:kern w:val="24"/>
        </w:rPr>
        <w:t xml:space="preserve"> ‘Make</w:t>
      </w:r>
      <w:r>
        <w:rPr>
          <w:rFonts w:asciiTheme="minorHAnsi" w:eastAsiaTheme="minorEastAsia" w:hAnsiTheme="minorHAnsi" w:cstheme="minorHAnsi"/>
          <w:color w:val="FF0000"/>
          <w:kern w:val="24"/>
        </w:rPr>
        <w:t xml:space="preserve"> </w:t>
      </w:r>
      <w:proofErr w:type="gramStart"/>
      <w:r>
        <w:rPr>
          <w:rFonts w:asciiTheme="minorHAnsi" w:eastAsiaTheme="minorEastAsia" w:hAnsiTheme="minorHAnsi" w:cstheme="minorHAnsi"/>
          <w:color w:val="FF0000"/>
          <w:kern w:val="24"/>
        </w:rPr>
        <w:t>In</w:t>
      </w:r>
      <w:proofErr w:type="gramEnd"/>
      <w:r>
        <w:rPr>
          <w:rFonts w:asciiTheme="minorHAnsi" w:eastAsiaTheme="minorEastAsia" w:hAnsiTheme="minorHAnsi" w:cstheme="minorHAnsi"/>
          <w:color w:val="FF0000"/>
          <w:kern w:val="24"/>
        </w:rPr>
        <w:t xml:space="preserve"> House</w:t>
      </w:r>
      <w:r w:rsidRPr="002202D7">
        <w:rPr>
          <w:rFonts w:asciiTheme="minorHAnsi" w:eastAsiaTheme="minorEastAsia" w:hAnsiTheme="minorHAnsi" w:cstheme="minorHAnsi"/>
          <w:color w:val="FF0000"/>
          <w:kern w:val="24"/>
        </w:rPr>
        <w:t xml:space="preserve">’ </w:t>
      </w:r>
      <w:r>
        <w:rPr>
          <w:rFonts w:asciiTheme="minorHAnsi" w:eastAsiaTheme="minorEastAsia" w:hAnsiTheme="minorHAnsi" w:cstheme="minorHAnsi"/>
          <w:color w:val="FF0000"/>
          <w:kern w:val="24"/>
        </w:rPr>
        <w:t>Cost related Issues</w:t>
      </w:r>
    </w:p>
    <w:p w14:paraId="793A88B5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Incremental inventory-carrying costs </w:t>
      </w:r>
    </w:p>
    <w:p w14:paraId="559B8183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Direct </w:t>
      </w:r>
      <w:proofErr w:type="spellStart"/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labour</w:t>
      </w:r>
      <w:proofErr w:type="spellEnd"/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costs </w:t>
      </w:r>
    </w:p>
    <w:p w14:paraId="49C45EDF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Incremental factory overhead costs </w:t>
      </w:r>
    </w:p>
    <w:p w14:paraId="0D787A84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Delivered purchased material costs </w:t>
      </w:r>
    </w:p>
    <w:p w14:paraId="6200C3D6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Incremental managerial costs </w:t>
      </w:r>
    </w:p>
    <w:p w14:paraId="5265D730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Any follow-on costs stemming from quality and related problems </w:t>
      </w:r>
    </w:p>
    <w:p w14:paraId="6E131CFA" w14:textId="77777777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Incremental purchasing costs </w:t>
      </w:r>
    </w:p>
    <w:p w14:paraId="343114CC" w14:textId="4F36381A" w:rsidR="002202D7" w:rsidRPr="002202D7" w:rsidRDefault="002202D7" w:rsidP="002202D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spacing w:line="192" w:lineRule="auto"/>
        <w:ind w:firstLine="131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Incremental capital costs</w:t>
      </w: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sz w:val="42"/>
          <w:szCs w:val="42"/>
          <w:lang w:val="en-US"/>
        </w:rPr>
        <w:t xml:space="preserve"> </w:t>
      </w:r>
    </w:p>
    <w:p w14:paraId="5090EA68" w14:textId="45E00ECF" w:rsidR="002202D7" w:rsidRDefault="002202D7" w:rsidP="002202D7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9B6C584" w14:textId="06A94C9A" w:rsidR="002202D7" w:rsidRPr="002202D7" w:rsidRDefault="002202D7" w:rsidP="002202D7">
      <w:pPr>
        <w:pStyle w:val="NormalWeb"/>
        <w:spacing w:before="101" w:beforeAutospacing="0" w:after="0" w:afterAutospacing="0" w:line="192" w:lineRule="auto"/>
        <w:ind w:left="142" w:hanging="142"/>
        <w:textAlignment w:val="baseline"/>
        <w:rPr>
          <w:rFonts w:asciiTheme="minorHAnsi" w:hAnsiTheme="minorHAnsi" w:cstheme="minorHAnsi"/>
        </w:rPr>
      </w:pPr>
      <w:r w:rsidRPr="002202D7">
        <w:rPr>
          <w:rFonts w:asciiTheme="minorHAnsi" w:eastAsiaTheme="minorEastAsia" w:hAnsiTheme="minorHAnsi" w:cstheme="minorHAnsi"/>
          <w:color w:val="FF0000"/>
          <w:kern w:val="24"/>
        </w:rPr>
        <w:t xml:space="preserve"> ‘</w:t>
      </w:r>
      <w:r>
        <w:rPr>
          <w:rFonts w:asciiTheme="minorHAnsi" w:eastAsiaTheme="minorEastAsia" w:hAnsiTheme="minorHAnsi" w:cstheme="minorHAnsi"/>
          <w:color w:val="FF0000"/>
          <w:kern w:val="24"/>
        </w:rPr>
        <w:t>Outsourcing’ Cost Related Issues</w:t>
      </w:r>
    </w:p>
    <w:p w14:paraId="53C441A1" w14:textId="77777777" w:rsidR="002202D7" w:rsidRPr="002202D7" w:rsidRDefault="002202D7" w:rsidP="002202D7">
      <w:pPr>
        <w:pStyle w:val="ListParagraph"/>
        <w:numPr>
          <w:ilvl w:val="0"/>
          <w:numId w:val="5"/>
        </w:numPr>
        <w:spacing w:line="192" w:lineRule="auto"/>
        <w:ind w:firstLine="162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Purchase price of the part </w:t>
      </w:r>
    </w:p>
    <w:p w14:paraId="2B168DD0" w14:textId="77777777" w:rsidR="002202D7" w:rsidRPr="002202D7" w:rsidRDefault="002202D7" w:rsidP="002202D7">
      <w:pPr>
        <w:pStyle w:val="ListParagraph"/>
        <w:numPr>
          <w:ilvl w:val="0"/>
          <w:numId w:val="5"/>
        </w:numPr>
        <w:spacing w:line="192" w:lineRule="auto"/>
        <w:ind w:firstLine="162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Transportation costs </w:t>
      </w:r>
    </w:p>
    <w:p w14:paraId="1B4B339D" w14:textId="77777777" w:rsidR="002202D7" w:rsidRPr="002202D7" w:rsidRDefault="002202D7" w:rsidP="002202D7">
      <w:pPr>
        <w:pStyle w:val="ListParagraph"/>
        <w:numPr>
          <w:ilvl w:val="0"/>
          <w:numId w:val="5"/>
        </w:numPr>
        <w:spacing w:line="192" w:lineRule="auto"/>
        <w:ind w:firstLine="162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Receiving and inspection costs </w:t>
      </w:r>
    </w:p>
    <w:p w14:paraId="2F07D9B7" w14:textId="77777777" w:rsidR="002202D7" w:rsidRPr="002202D7" w:rsidRDefault="002202D7" w:rsidP="002202D7">
      <w:pPr>
        <w:pStyle w:val="ListParagraph"/>
        <w:numPr>
          <w:ilvl w:val="0"/>
          <w:numId w:val="5"/>
        </w:numPr>
        <w:spacing w:line="192" w:lineRule="auto"/>
        <w:ind w:firstLine="162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Incremental purchasing costs </w:t>
      </w:r>
    </w:p>
    <w:p w14:paraId="5B38067D" w14:textId="77777777" w:rsidR="002202D7" w:rsidRPr="002202D7" w:rsidRDefault="002202D7" w:rsidP="002202D7">
      <w:pPr>
        <w:pStyle w:val="ListParagraph"/>
        <w:numPr>
          <w:ilvl w:val="0"/>
          <w:numId w:val="5"/>
        </w:numPr>
        <w:spacing w:line="192" w:lineRule="auto"/>
        <w:ind w:firstLine="162"/>
        <w:textAlignment w:val="baseline"/>
        <w:rPr>
          <w:rFonts w:asciiTheme="minorHAnsi" w:hAnsiTheme="minorHAnsi" w:cstheme="minorHAnsi"/>
          <w:color w:val="000000"/>
        </w:rPr>
      </w:pPr>
      <w:r w:rsidRPr="002202D7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Any follow-on costs related to quality or service </w:t>
      </w:r>
    </w:p>
    <w:p w14:paraId="3FA4F962" w14:textId="77777777" w:rsidR="002202D7" w:rsidRPr="002202D7" w:rsidRDefault="002202D7" w:rsidP="002202D7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2202D7" w:rsidRPr="0022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3"/>
    <w:multiLevelType w:val="hybridMultilevel"/>
    <w:tmpl w:val="83CA4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557"/>
    <w:multiLevelType w:val="hybridMultilevel"/>
    <w:tmpl w:val="C6CAE092"/>
    <w:lvl w:ilvl="0" w:tplc="C8309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A9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4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C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B09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6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8B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C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C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92F61"/>
    <w:multiLevelType w:val="hybridMultilevel"/>
    <w:tmpl w:val="8D3A8170"/>
    <w:lvl w:ilvl="0" w:tplc="1CA08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AE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E5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6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CF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40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0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2B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6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AC36DA"/>
    <w:multiLevelType w:val="hybridMultilevel"/>
    <w:tmpl w:val="22600CA2"/>
    <w:lvl w:ilvl="0" w:tplc="05CC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03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0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0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2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4E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02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85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8B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ED4076"/>
    <w:multiLevelType w:val="hybridMultilevel"/>
    <w:tmpl w:val="5142BE14"/>
    <w:lvl w:ilvl="0" w:tplc="BFBAB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8F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4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4C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66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E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0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2"/>
    <w:rsid w:val="002202D7"/>
    <w:rsid w:val="00227222"/>
    <w:rsid w:val="00430B8C"/>
    <w:rsid w:val="004C38E0"/>
    <w:rsid w:val="00E54366"/>
    <w:rsid w:val="00F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4F55"/>
  <w15:chartTrackingRefBased/>
  <w15:docId w15:val="{2CFEA68A-1EA6-4050-ABB8-95A378A5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0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8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1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4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9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4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4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3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3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1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3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Break Even Point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446981627296587"/>
          <c:y val="0.17634259259259263"/>
          <c:w val="0.85219685039370074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Sheet1!$E$10:$F$10</c:f>
              <c:numCache>
                <c:formatCode>General</c:formatCode>
                <c:ptCount val="2"/>
                <c:pt idx="0">
                  <c:v>130000</c:v>
                </c:pt>
                <c:pt idx="1">
                  <c:v>290000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BC-442E-B15F-002108DACC90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Sheet1!$E$11:$F$11</c:f>
              <c:numCache>
                <c:formatCode>General</c:formatCode>
                <c:ptCount val="2"/>
                <c:pt idx="0">
                  <c:v>0</c:v>
                </c:pt>
                <c:pt idx="1">
                  <c:v>700000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BC-442E-B15F-002108DAC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514655"/>
        <c:axId val="28504975"/>
      </c:lineChart>
      <c:catAx>
        <c:axId val="13451465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04975"/>
        <c:crosses val="autoZero"/>
        <c:auto val="1"/>
        <c:lblAlgn val="ctr"/>
        <c:lblOffset val="100"/>
        <c:noMultiLvlLbl val="0"/>
      </c:catAx>
      <c:valAx>
        <c:axId val="28504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514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0.43333</cdr:x>
      <cdr:y>0.4875</cdr:y>
    </cdr:from>
    <cdr:to>
      <cdr:x>0.43333</cdr:x>
      <cdr:y>0.91806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5FBDBE0B-E088-4010-BAEC-1ACC93346ECC}"/>
            </a:ext>
          </a:extLst>
        </cdr:cNvPr>
        <cdr:cNvCxnSpPr/>
      </cdr:nvCxnSpPr>
      <cdr:spPr>
        <a:xfrm xmlns:a="http://schemas.openxmlformats.org/drawingml/2006/main">
          <a:off x="1981200" y="1337310"/>
          <a:ext cx="0" cy="1181100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</cdr:x>
      <cdr:y>0.7375</cdr:y>
    </cdr:from>
    <cdr:to>
      <cdr:x>0.525</cdr:x>
      <cdr:y>0.74028</cdr:y>
    </cdr:to>
    <cdr:cxnSp macro="">
      <cdr:nvCxnSpPr>
        <cdr:cNvPr id="5" name="Straight Connector 4">
          <a:extLst xmlns:a="http://schemas.openxmlformats.org/drawingml/2006/main">
            <a:ext uri="{FF2B5EF4-FFF2-40B4-BE49-F238E27FC236}">
              <a16:creationId xmlns:a16="http://schemas.microsoft.com/office/drawing/2014/main" id="{CB65986F-3C06-4A57-AE71-1A44D100825C}"/>
            </a:ext>
          </a:extLst>
        </cdr:cNvPr>
        <cdr:cNvCxnSpPr/>
      </cdr:nvCxnSpPr>
      <cdr:spPr>
        <a:xfrm xmlns:a="http://schemas.openxmlformats.org/drawingml/2006/main" flipH="1">
          <a:off x="548640" y="2023110"/>
          <a:ext cx="1851660" cy="7620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Thomas [ant42]</dc:creator>
  <cp:keywords/>
  <dc:description/>
  <cp:lastModifiedBy>Andrew Thomas [ant42]</cp:lastModifiedBy>
  <cp:revision>2</cp:revision>
  <dcterms:created xsi:type="dcterms:W3CDTF">2020-03-08T13:46:00Z</dcterms:created>
  <dcterms:modified xsi:type="dcterms:W3CDTF">2020-03-08T15:12:00Z</dcterms:modified>
</cp:coreProperties>
</file>