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11EB3371">
      <w:pPr>
        <w:pStyle w:val="ConferenceTitle"/>
        <w:jc w:val="left"/>
      </w:pPr>
      <w:r w:rsidR="00E71ABA">
        <w:rPr/>
        <w:t>1</w:t>
      </w:r>
      <w:r w:rsidR="40DAA8DE">
        <w:rPr/>
        <w:t>2fed</w:t>
      </w:r>
      <w:r w:rsidR="00E71ABA">
        <w:rPr/>
        <w:t xml:space="preserve"> Gynhadledd Dysgu ac Addysgu</w:t>
      </w:r>
    </w:p>
    <w:p w:rsidRPr="00276350" w:rsidR="00E71ABA" w:rsidP="00E71ABA" w:rsidRDefault="00E71ABA" w14:paraId="24E50398" w14:textId="666BA307">
      <w:pPr>
        <w:pStyle w:val="ConferenceTitle"/>
        <w:jc w:val="left"/>
      </w:pPr>
      <w:r w:rsidR="00E71ABA">
        <w:rPr/>
        <w:t>1</w:t>
      </w:r>
      <w:r w:rsidR="5D4F2598">
        <w:rPr/>
        <w:t>2</w:t>
      </w:r>
      <w:r w:rsidR="00E71ABA">
        <w:rPr/>
        <w:t xml:space="preserve">th </w:t>
      </w:r>
      <w:r w:rsidR="00E71ABA">
        <w:rPr/>
        <w:t>Annual</w:t>
      </w:r>
      <w:r w:rsidR="00E71ABA">
        <w:rPr/>
        <w:t xml:space="preserve"> Learning and Teaching Conference</w:t>
      </w:r>
    </w:p>
    <w:p w:rsidR="46CA81BB" w:rsidP="5022735B" w:rsidRDefault="46CA81BB" w14:paraId="406EECF1" w14:textId="2675604B">
      <w:pPr>
        <w:pStyle w:val="ConferenceTitle"/>
        <w:bidi w:val="0"/>
        <w:spacing w:before="0" w:beforeAutospacing="off" w:after="0" w:afterAutospacing="off" w:line="240" w:lineRule="auto"/>
        <w:ind w:left="0" w:right="0"/>
        <w:jc w:val="left"/>
      </w:pPr>
      <w:r w:rsidR="32683A42">
        <w:rPr/>
        <w:t xml:space="preserve">10-12 Medi 2024 </w:t>
      </w:r>
      <w:r w:rsidR="00E71ABA">
        <w:rPr/>
        <w:t xml:space="preserve">| </w:t>
      </w:r>
      <w:r w:rsidR="77BA96F9">
        <w:rPr/>
        <w:t>10-12</w:t>
      </w:r>
      <w:r w:rsidR="5CAA9A6F">
        <w:rPr/>
        <w:t xml:space="preserve"> </w:t>
      </w:r>
      <w:r w:rsidR="54D6C478">
        <w:rPr/>
        <w:t>September 2024</w:t>
      </w:r>
    </w:p>
    <w:p w:rsidR="71E4CAC4" w:rsidP="425DF5E0" w:rsidRDefault="71E4CAC4" w14:paraId="4032F365" w14:textId="61959C3A">
      <w:pPr>
        <w:pStyle w:val="PaperandAuthor"/>
        <w:bidi w:val="0"/>
        <w:spacing w:before="240" w:beforeAutospacing="off" w:after="0" w:afterAutospacing="off" w:line="259" w:lineRule="auto"/>
        <w:ind w:left="0" w:right="0"/>
        <w:jc w:val="left"/>
      </w:pPr>
      <w:r w:rsidRPr="425DF5E0" w:rsidR="71E4CAC4">
        <w:rPr>
          <w:noProof w:val="0"/>
          <w:lang w:val="en-GB"/>
        </w:rPr>
        <w:t>Sugar-coating the pill: the highs and lows of embedding interview practice into infectious disease learning.</w:t>
      </w:r>
    </w:p>
    <w:p w:rsidR="71E4CAC4" w:rsidP="425DF5E0" w:rsidRDefault="71E4CAC4" w14:paraId="5E57FBBC" w14:textId="7EB9D34B">
      <w:pPr>
        <w:pStyle w:val="PaperandAuthor"/>
        <w:suppressLineNumbers w:val="0"/>
        <w:bidi w:val="0"/>
        <w:spacing w:before="240" w:beforeAutospacing="off" w:after="0" w:afterAutospacing="off" w:line="259" w:lineRule="auto"/>
        <w:ind w:left="0" w:right="0"/>
        <w:jc w:val="left"/>
      </w:pPr>
      <w:r w:rsidR="71E4CAC4">
        <w:rPr/>
        <w:t>Iain Chalmers &amp; James Cuffe</w:t>
      </w:r>
    </w:p>
    <w:p w:rsidR="40913886" w:rsidP="552F7181" w:rsidRDefault="40913886" w14:paraId="7ABB1C25" w14:textId="65D0CDA8">
      <w:pPr>
        <w:pStyle w:val="PaperandAuthor"/>
        <w:suppressLineNumbers w:val="0"/>
        <w:spacing w:before="240" w:beforeAutospacing="off" w:after="0" w:afterAutospacing="off" w:line="259" w:lineRule="auto"/>
        <w:ind w:left="0" w:right="0"/>
        <w:jc w:val="left"/>
      </w:pPr>
      <w:r w:rsidR="40913886">
        <w:rPr/>
        <w:t xml:space="preserve">Adran y Gwyddorau </w:t>
      </w:r>
      <w:r w:rsidR="40913886">
        <w:rPr/>
        <w:t>Bywyd</w:t>
      </w:r>
      <w:r w:rsidR="40913886">
        <w:rPr/>
        <w:t xml:space="preserve"> &amp; </w:t>
      </w:r>
      <w:r w:rsidR="40913886">
        <w:rPr/>
        <w:t>Gwasanaeth</w:t>
      </w:r>
      <w:r w:rsidR="40913886">
        <w:rPr/>
        <w:t xml:space="preserve"> </w:t>
      </w:r>
      <w:r w:rsidR="40913886">
        <w:rPr/>
        <w:t>Gyrfaoedd</w:t>
      </w:r>
      <w:r w:rsidR="40913886">
        <w:rPr/>
        <w:t xml:space="preserve"> | </w:t>
      </w:r>
      <w:r w:rsidR="5C8C1A01">
        <w:rPr/>
        <w:t>Department</w:t>
      </w:r>
      <w:r w:rsidR="0549C50D">
        <w:rPr/>
        <w:t xml:space="preserve"> of Life Sciences &amp; Careers Service</w:t>
      </w:r>
    </w:p>
    <w:p w:rsidR="2E408620" w:rsidP="552F7181" w:rsidRDefault="2E408620" w14:paraId="3A68C7BC" w14:textId="5E4B829B">
      <w:pPr>
        <w:pStyle w:val="PaperandAuthor"/>
        <w:suppressLineNumbers w:val="0"/>
        <w:bidi w:val="0"/>
        <w:spacing w:before="240" w:beforeAutospacing="off" w:after="0" w:afterAutospacing="off" w:line="259" w:lineRule="auto"/>
        <w:ind w:left="0" w:right="0"/>
        <w:jc w:val="left"/>
      </w:pPr>
      <w:r w:rsidRPr="552F7181" w:rsidR="2E408620">
        <w:rPr>
          <w:rFonts w:ascii="Aptos" w:hAnsi="Aptos" w:eastAsia="Aptos" w:cs="Aptos"/>
          <w:noProof w:val="0"/>
          <w:color w:val="000000" w:themeColor="text1" w:themeTint="FF" w:themeShade="FF"/>
          <w:sz w:val="24"/>
          <w:szCs w:val="24"/>
          <w:lang w:val="en-GB"/>
        </w:rPr>
        <w:t xml:space="preserve">This presentation will explore interview-style assessments as a vehicle for students to gain both generic skills in job interviews and problem-solving, in addition to subject-specific knowledge. </w:t>
      </w:r>
    </w:p>
    <w:p w:rsidR="552F7181" w:rsidP="552F7181" w:rsidRDefault="552F7181" w14:paraId="74FD00E2" w14:textId="6399E629">
      <w:pPr>
        <w:pStyle w:val="PaperandAuthor"/>
        <w:suppressLineNumbers w:val="0"/>
        <w:bidi w:val="0"/>
        <w:spacing w:before="240" w:beforeAutospacing="off" w:after="0" w:afterAutospacing="off" w:line="259" w:lineRule="auto"/>
        <w:ind w:left="0" w:right="0"/>
        <w:jc w:val="left"/>
        <w:rPr>
          <w:rFonts w:ascii="Aptos" w:hAnsi="Aptos" w:eastAsia="Aptos" w:cs="Aptos"/>
          <w:noProof w:val="0"/>
          <w:color w:val="000000" w:themeColor="text1" w:themeTint="FF" w:themeShade="FF"/>
          <w:sz w:val="24"/>
          <w:szCs w:val="24"/>
          <w:lang w:val="en-GB"/>
        </w:rPr>
      </w:pPr>
    </w:p>
    <w:p w:rsidR="0EF4E167" w:rsidP="425DF5E0" w:rsidRDefault="0EF4E167" w14:paraId="00EC5946" w14:textId="5CDC8810">
      <w:pPr>
        <w:bidi w:val="0"/>
        <w:spacing w:before="0" w:beforeAutospacing="off" w:after="0" w:afterAutospacing="off" w:line="252" w:lineRule="auto"/>
        <w:ind/>
      </w:pPr>
      <w:r w:rsidRPr="425DF5E0" w:rsidR="2E408620">
        <w:rPr>
          <w:rFonts w:ascii="Aptos" w:hAnsi="Aptos" w:eastAsia="Aptos" w:cs="Aptos"/>
          <w:noProof w:val="0"/>
          <w:color w:val="000000" w:themeColor="text1" w:themeTint="FF" w:themeShade="FF"/>
          <w:sz w:val="24"/>
          <w:szCs w:val="24"/>
          <w:lang w:val="en-GB"/>
        </w:rPr>
        <w:t>Inspired by infectious disease outbreak scenario planning days which occur commonly in both the human and veterinary infectious disease sectors, this assessment was designed to improve students' ability to communicate their science, stakeholder-specific arguments, and ability to cope under interview questioning. This assessment has evolved through the last 8 years and we will discuss the successes, challenges, and improvements from both staff and students perspectives.</w:t>
      </w:r>
    </w:p>
    <w:p w:rsidR="0EF4E167" w:rsidP="425DF5E0" w:rsidRDefault="0EF4E167" w14:paraId="509CB28D" w14:textId="1405EC33">
      <w:pPr>
        <w:bidi w:val="0"/>
        <w:spacing w:before="0" w:beforeAutospacing="off" w:after="0" w:afterAutospacing="off" w:line="252" w:lineRule="auto"/>
        <w:ind/>
      </w:pPr>
      <w:r w:rsidRPr="552F7181" w:rsidR="2E408620">
        <w:rPr>
          <w:rFonts w:ascii="Aptos" w:hAnsi="Aptos" w:eastAsia="Aptos" w:cs="Aptos"/>
          <w:noProof w:val="0"/>
          <w:color w:val="000000" w:themeColor="text1" w:themeTint="FF" w:themeShade="FF"/>
          <w:sz w:val="24"/>
          <w:szCs w:val="24"/>
          <w:lang w:val="en-GB"/>
        </w:rPr>
        <w:t xml:space="preserve">Students are provided with a timeline of a novel veterinary disease outbreak and tasked with </w:t>
      </w:r>
      <w:r w:rsidRPr="552F7181" w:rsidR="2E408620">
        <w:rPr>
          <w:rFonts w:ascii="Aptos" w:hAnsi="Aptos" w:eastAsia="Aptos" w:cs="Aptos"/>
          <w:noProof w:val="0"/>
          <w:color w:val="000000" w:themeColor="text1" w:themeTint="FF" w:themeShade="FF"/>
          <w:sz w:val="24"/>
          <w:szCs w:val="24"/>
          <w:lang w:val="en-GB"/>
        </w:rPr>
        <w:t>representing</w:t>
      </w:r>
      <w:r w:rsidRPr="552F7181" w:rsidR="2E408620">
        <w:rPr>
          <w:rFonts w:ascii="Aptos" w:hAnsi="Aptos" w:eastAsia="Aptos" w:cs="Aptos"/>
          <w:noProof w:val="0"/>
          <w:color w:val="000000" w:themeColor="text1" w:themeTint="FF" w:themeShade="FF"/>
          <w:sz w:val="24"/>
          <w:szCs w:val="24"/>
          <w:lang w:val="en-GB"/>
        </w:rPr>
        <w:t xml:space="preserve"> an industry stakeholder and </w:t>
      </w:r>
      <w:r w:rsidRPr="552F7181" w:rsidR="2E408620">
        <w:rPr>
          <w:rFonts w:ascii="Aptos" w:hAnsi="Aptos" w:eastAsia="Aptos" w:cs="Aptos"/>
          <w:noProof w:val="0"/>
          <w:color w:val="000000" w:themeColor="text1" w:themeTint="FF" w:themeShade="FF"/>
          <w:sz w:val="24"/>
          <w:szCs w:val="24"/>
          <w:lang w:val="en-GB"/>
        </w:rPr>
        <w:t>determining</w:t>
      </w:r>
      <w:r w:rsidRPr="552F7181" w:rsidR="2E408620">
        <w:rPr>
          <w:rFonts w:ascii="Aptos" w:hAnsi="Aptos" w:eastAsia="Aptos" w:cs="Aptos"/>
          <w:noProof w:val="0"/>
          <w:color w:val="000000" w:themeColor="text1" w:themeTint="FF" w:themeShade="FF"/>
          <w:sz w:val="24"/>
          <w:szCs w:val="24"/>
          <w:lang w:val="en-GB"/>
        </w:rPr>
        <w:t xml:space="preserve"> how best to </w:t>
      </w:r>
      <w:r w:rsidRPr="552F7181" w:rsidR="2E408620">
        <w:rPr>
          <w:rFonts w:ascii="Aptos" w:hAnsi="Aptos" w:eastAsia="Aptos" w:cs="Aptos"/>
          <w:noProof w:val="0"/>
          <w:color w:val="000000" w:themeColor="text1" w:themeTint="FF" w:themeShade="FF"/>
          <w:sz w:val="24"/>
          <w:szCs w:val="24"/>
          <w:lang w:val="en-GB"/>
        </w:rPr>
        <w:t>advise</w:t>
      </w:r>
      <w:r w:rsidRPr="552F7181" w:rsidR="2E408620">
        <w:rPr>
          <w:rFonts w:ascii="Aptos" w:hAnsi="Aptos" w:eastAsia="Aptos" w:cs="Aptos"/>
          <w:noProof w:val="0"/>
          <w:color w:val="000000" w:themeColor="text1" w:themeTint="FF" w:themeShade="FF"/>
          <w:sz w:val="24"/>
          <w:szCs w:val="24"/>
          <w:lang w:val="en-GB"/>
        </w:rPr>
        <w:t xml:space="preserve"> the government.</w:t>
      </w:r>
      <w:r w:rsidRPr="552F7181" w:rsidR="2E408620">
        <w:rPr>
          <w:rFonts w:ascii="Aptos" w:hAnsi="Aptos" w:eastAsia="Aptos" w:cs="Aptos"/>
          <w:noProof w:val="0"/>
          <w:color w:val="000000" w:themeColor="text1" w:themeTint="FF" w:themeShade="FF"/>
          <w:sz w:val="24"/>
          <w:szCs w:val="24"/>
          <w:lang w:val="en-GB"/>
        </w:rPr>
        <w:t xml:space="preserve"> </w:t>
      </w:r>
    </w:p>
    <w:p w:rsidR="552F7181" w:rsidP="552F7181" w:rsidRDefault="552F7181" w14:paraId="03E13C10" w14:textId="643E4F0D">
      <w:pPr>
        <w:bidi w:val="0"/>
        <w:spacing w:before="0" w:beforeAutospacing="off" w:after="0" w:afterAutospacing="off" w:line="252" w:lineRule="auto"/>
        <w:rPr>
          <w:rFonts w:ascii="Aptos" w:hAnsi="Aptos" w:eastAsia="Aptos" w:cs="Aptos"/>
          <w:noProof w:val="0"/>
          <w:color w:val="000000" w:themeColor="text1" w:themeTint="FF" w:themeShade="FF"/>
          <w:sz w:val="24"/>
          <w:szCs w:val="24"/>
          <w:lang w:val="en-GB"/>
        </w:rPr>
      </w:pPr>
    </w:p>
    <w:p w:rsidR="0EF4E167" w:rsidP="425DF5E0" w:rsidRDefault="0EF4E167" w14:paraId="5EFF3CE1" w14:textId="37D50A2E">
      <w:pPr>
        <w:bidi w:val="0"/>
        <w:spacing w:before="0" w:beforeAutospacing="off" w:after="0" w:afterAutospacing="off" w:line="252" w:lineRule="auto"/>
        <w:ind/>
      </w:pPr>
      <w:r w:rsidRPr="552F7181" w:rsidR="2E408620">
        <w:rPr>
          <w:rFonts w:ascii="Aptos" w:hAnsi="Aptos" w:eastAsia="Aptos" w:cs="Aptos"/>
          <w:noProof w:val="0"/>
          <w:color w:val="000000" w:themeColor="text1" w:themeTint="FF" w:themeShade="FF"/>
          <w:sz w:val="24"/>
          <w:szCs w:val="24"/>
          <w:lang w:val="en-GB"/>
        </w:rPr>
        <w:t xml:space="preserve">The structure of learning includes three key aspects: </w:t>
      </w:r>
    </w:p>
    <w:p w:rsidR="552F7181" w:rsidP="552F7181" w:rsidRDefault="552F7181" w14:paraId="27D30DB7" w14:textId="006F93E8">
      <w:pPr>
        <w:bidi w:val="0"/>
        <w:spacing w:before="0" w:beforeAutospacing="off" w:after="0" w:afterAutospacing="off" w:line="252" w:lineRule="auto"/>
        <w:rPr>
          <w:rFonts w:ascii="Aptos" w:hAnsi="Aptos" w:eastAsia="Aptos" w:cs="Aptos"/>
          <w:noProof w:val="0"/>
          <w:color w:val="000000" w:themeColor="text1" w:themeTint="FF" w:themeShade="FF"/>
          <w:sz w:val="24"/>
          <w:szCs w:val="24"/>
          <w:lang w:val="en-GB"/>
        </w:rPr>
      </w:pPr>
    </w:p>
    <w:p w:rsidR="0EF4E167" w:rsidP="425DF5E0" w:rsidRDefault="0EF4E167" w14:paraId="77001721" w14:textId="71E74E00">
      <w:pPr>
        <w:pStyle w:val="ListParagraph"/>
        <w:numPr>
          <w:ilvl w:val="0"/>
          <w:numId w:val="6"/>
        </w:numPr>
        <w:bidi w:val="0"/>
        <w:spacing w:before="0" w:beforeAutospacing="off" w:after="0" w:afterAutospacing="off" w:line="252" w:lineRule="auto"/>
        <w:ind/>
        <w:rPr/>
      </w:pPr>
      <w:r w:rsidRPr="425DF5E0" w:rsidR="2E408620">
        <w:rPr>
          <w:rFonts w:ascii="Aptos" w:hAnsi="Aptos" w:eastAsia="Aptos" w:cs="Aptos"/>
          <w:noProof w:val="0"/>
          <w:color w:val="000000" w:themeColor="text1" w:themeTint="FF" w:themeShade="FF"/>
          <w:sz w:val="24"/>
          <w:szCs w:val="24"/>
          <w:lang w:val="en-GB"/>
        </w:rPr>
        <w:t xml:space="preserve">A formative, group seminar-based session for students to work together, hear other perspectives from differing stakeholders and understand the </w:t>
      </w:r>
      <w:r w:rsidRPr="425DF5E0" w:rsidR="2E408620">
        <w:rPr>
          <w:rFonts w:ascii="Aptos" w:hAnsi="Aptos" w:eastAsia="Aptos" w:cs="Aptos"/>
          <w:noProof w:val="0"/>
          <w:color w:val="000000" w:themeColor="text1" w:themeTint="FF" w:themeShade="FF"/>
          <w:sz w:val="24"/>
          <w:szCs w:val="24"/>
          <w:lang w:val="en-GB"/>
        </w:rPr>
        <w:t>hard decisions</w:t>
      </w:r>
      <w:r w:rsidRPr="425DF5E0" w:rsidR="2E408620">
        <w:rPr>
          <w:rFonts w:ascii="Aptos" w:hAnsi="Aptos" w:eastAsia="Aptos" w:cs="Aptos"/>
          <w:noProof w:val="0"/>
          <w:color w:val="000000" w:themeColor="text1" w:themeTint="FF" w:themeShade="FF"/>
          <w:sz w:val="24"/>
          <w:szCs w:val="24"/>
          <w:lang w:val="en-GB"/>
        </w:rPr>
        <w:t xml:space="preserve"> faced in real disease outbreaks. </w:t>
      </w:r>
    </w:p>
    <w:p w:rsidR="0EF4E167" w:rsidP="425DF5E0" w:rsidRDefault="0EF4E167" w14:paraId="2B020679" w14:textId="2BE98F8A">
      <w:pPr>
        <w:pStyle w:val="ListParagraph"/>
        <w:numPr>
          <w:ilvl w:val="0"/>
          <w:numId w:val="6"/>
        </w:numPr>
        <w:bidi w:val="0"/>
        <w:spacing w:before="0" w:beforeAutospacing="off" w:after="0" w:afterAutospacing="off" w:line="252" w:lineRule="auto"/>
        <w:ind/>
        <w:rPr/>
      </w:pPr>
      <w:r w:rsidRPr="425DF5E0" w:rsidR="2E408620">
        <w:rPr>
          <w:rFonts w:ascii="Aptos" w:hAnsi="Aptos" w:eastAsia="Aptos" w:cs="Aptos"/>
          <w:noProof w:val="0"/>
          <w:color w:val="000000" w:themeColor="text1" w:themeTint="FF" w:themeShade="FF"/>
          <w:sz w:val="24"/>
          <w:szCs w:val="24"/>
          <w:lang w:val="en-GB"/>
        </w:rPr>
        <w:t>A seminar by career service and module staff held to highlight how to be prepared for job interviews and the overlap between this assessment and real-world job interviews/careers.</w:t>
      </w:r>
    </w:p>
    <w:p w:rsidR="0EF4E167" w:rsidP="425DF5E0" w:rsidRDefault="0EF4E167" w14:paraId="3B21B8B7" w14:textId="771BBA48">
      <w:pPr>
        <w:pStyle w:val="ListParagraph"/>
        <w:numPr>
          <w:ilvl w:val="0"/>
          <w:numId w:val="6"/>
        </w:numPr>
        <w:bidi w:val="0"/>
        <w:spacing w:before="0" w:beforeAutospacing="off" w:after="0" w:afterAutospacing="off" w:line="252" w:lineRule="auto"/>
        <w:ind/>
        <w:rPr/>
      </w:pPr>
      <w:r w:rsidRPr="425DF5E0" w:rsidR="2E408620">
        <w:rPr>
          <w:rFonts w:ascii="Aptos" w:hAnsi="Aptos" w:eastAsia="Aptos" w:cs="Aptos"/>
          <w:noProof w:val="0"/>
          <w:color w:val="000000" w:themeColor="text1" w:themeTint="FF" w:themeShade="FF"/>
          <w:sz w:val="24"/>
          <w:szCs w:val="24"/>
          <w:lang w:val="en-GB"/>
        </w:rPr>
        <w:t xml:space="preserve">The summative individual interview-style assessment performed by careers service and module lecturers replicating the same general structure as the formative assessment. </w:t>
      </w:r>
    </w:p>
    <w:p w:rsidR="0EF4E167" w:rsidP="425DF5E0" w:rsidRDefault="0EF4E167" w14:paraId="5316A291" w14:textId="5A5C52E3">
      <w:pPr>
        <w:bidi w:val="0"/>
        <w:spacing w:before="0" w:beforeAutospacing="off" w:after="0" w:afterAutospacing="off" w:line="252" w:lineRule="auto"/>
        <w:ind/>
      </w:pPr>
      <w:r w:rsidRPr="425DF5E0" w:rsidR="2E408620">
        <w:rPr>
          <w:rFonts w:ascii="Aptos" w:hAnsi="Aptos" w:eastAsia="Aptos" w:cs="Aptos"/>
          <w:noProof w:val="0"/>
          <w:color w:val="000000" w:themeColor="text1" w:themeTint="FF" w:themeShade="FF"/>
          <w:sz w:val="24"/>
          <w:szCs w:val="24"/>
          <w:lang w:val="en-GB"/>
        </w:rPr>
        <w:t xml:space="preserve"> </w:t>
      </w:r>
    </w:p>
    <w:p w:rsidR="00427955" w:rsidP="552F7181" w:rsidRDefault="00427955" w14:paraId="01CB0A8F" w14:textId="6C1B9425">
      <w:pPr>
        <w:spacing w:before="0" w:beforeAutospacing="off" w:after="0" w:afterAutospacing="off" w:line="252" w:lineRule="auto"/>
      </w:pPr>
      <w:r w:rsidRPr="552F7181" w:rsidR="2E408620">
        <w:rPr>
          <w:rFonts w:ascii="Aptos" w:hAnsi="Aptos" w:eastAsia="Aptos" w:cs="Aptos"/>
          <w:noProof w:val="0"/>
          <w:color w:val="000000" w:themeColor="text1" w:themeTint="FF" w:themeShade="FF"/>
          <w:sz w:val="24"/>
          <w:szCs w:val="24"/>
          <w:lang w:val="en-GB"/>
        </w:rPr>
        <w:t>This assessment is designed to embed employability in the heart of the module, with students discovering new potential degree-related careers, and gaining practice in interviews while understanding the cross-disciplinary nature of infectious disease outbreaks.</w:t>
      </w:r>
    </w:p>
    <w:p w:rsidR="728795FF" w:rsidP="728795FF" w:rsidRDefault="728795FF" w14:paraId="074FADA1" w14:textId="1FF4FFAD">
      <w:pPr>
        <w:pStyle w:val="paragraph"/>
        <w:rPr>
          <w:rFonts w:ascii="Calibri" w:hAnsi="Calibri" w:cs="Calibri" w:asciiTheme="minorAscii" w:hAnsiTheme="minorAscii" w:cstheme="minorAscii"/>
          <w:color w:val="0E101A"/>
        </w:rPr>
      </w:pP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17D4775A">
      <w:pPr>
        <w:pStyle w:val="Normal"/>
        <w:jc w:val="center"/>
      </w:pPr>
      <w:r w:rsidR="6F4D581C">
        <w:drawing>
          <wp:inline wp14:editId="4411C49D" wp14:anchorId="23ED193C">
            <wp:extent cx="1323378" cy="1323378"/>
            <wp:effectExtent l="0" t="0" r="0" b="0"/>
            <wp:docPr id="1230280489" name="" title=""/>
            <wp:cNvGraphicFramePr>
              <a:graphicFrameLocks noChangeAspect="1"/>
            </wp:cNvGraphicFramePr>
            <a:graphic>
              <a:graphicData uri="http://schemas.openxmlformats.org/drawingml/2006/picture">
                <pic:pic>
                  <pic:nvPicPr>
                    <pic:cNvPr id="0" name=""/>
                    <pic:cNvPicPr/>
                  </pic:nvPicPr>
                  <pic:blipFill>
                    <a:blip r:embed="Rc723580f2d244644">
                      <a:extLst>
                        <a:ext xmlns:a="http://schemas.openxmlformats.org/drawingml/2006/main" uri="{28A0092B-C50C-407E-A947-70E740481C1C}">
                          <a14:useLocalDpi val="0"/>
                        </a:ext>
                      </a:extLst>
                    </a:blip>
                    <a:stretch>
                      <a:fillRect/>
                    </a:stretch>
                  </pic:blipFill>
                  <pic:spPr>
                    <a:xfrm>
                      <a:off x="0" y="0"/>
                      <a:ext cx="1323378" cy="1323378"/>
                    </a:xfrm>
                    <a:prstGeom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hfKuokTaviSwe7" int2:id="P7PugL3m">
      <int2:state int2:type="AugLoop_Text_Critique" int2:value="Rejected"/>
    </int2:textHash>
    <int2:textHash int2:hashCode="gP9p1fW1XOZl+G" int2:id="JlreMpx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48405ef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53ae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6">
    <w:abstractNumId w:val="5"/>
  </w:num>
  <w:num w:numId="5">
    <w:abstractNumId w:val="4"/>
  </w: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549C50D"/>
    <w:rsid w:val="0974B0FC"/>
    <w:rsid w:val="0DCF319A"/>
    <w:rsid w:val="0EF4E167"/>
    <w:rsid w:val="0F45F81E"/>
    <w:rsid w:val="1B906CC7"/>
    <w:rsid w:val="1F5C8AEB"/>
    <w:rsid w:val="246B0DBC"/>
    <w:rsid w:val="26350404"/>
    <w:rsid w:val="27BC86FF"/>
    <w:rsid w:val="27DBA2FF"/>
    <w:rsid w:val="28C16517"/>
    <w:rsid w:val="2C4E6DF6"/>
    <w:rsid w:val="2E408620"/>
    <w:rsid w:val="32683A42"/>
    <w:rsid w:val="3D5854B3"/>
    <w:rsid w:val="3D848606"/>
    <w:rsid w:val="40913886"/>
    <w:rsid w:val="40DAA8DE"/>
    <w:rsid w:val="425DF5E0"/>
    <w:rsid w:val="46CA81BB"/>
    <w:rsid w:val="4D449ACC"/>
    <w:rsid w:val="4E8C46D1"/>
    <w:rsid w:val="4EB0E714"/>
    <w:rsid w:val="5022735B"/>
    <w:rsid w:val="54D6C478"/>
    <w:rsid w:val="552F7181"/>
    <w:rsid w:val="59B8A890"/>
    <w:rsid w:val="5C8C1A01"/>
    <w:rsid w:val="5CAA9A6F"/>
    <w:rsid w:val="5D4F2598"/>
    <w:rsid w:val="5D777A54"/>
    <w:rsid w:val="5FCFA8DA"/>
    <w:rsid w:val="61E9EC74"/>
    <w:rsid w:val="6A41E626"/>
    <w:rsid w:val="6A74791F"/>
    <w:rsid w:val="6BC3D728"/>
    <w:rsid w:val="6CE177CC"/>
    <w:rsid w:val="6CE177CC"/>
    <w:rsid w:val="6F4D581C"/>
    <w:rsid w:val="71E4CAC4"/>
    <w:rsid w:val="728795FF"/>
    <w:rsid w:val="77BA96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c723580f2d244644" /><Relationship Type="http://schemas.microsoft.com/office/2020/10/relationships/intelligence" Target="intelligence2.xml" Id="R9527b9a50f5240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3" ma:contentTypeDescription="Create a new document." ma:contentTypeScope="" ma:versionID="75bf210390e5276994e6be8c47f2cbb1">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f7e70708bb3113f791f028bcc98a7244"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A991A31D-4B34-4F2F-BFBB-C14576C717AC}"/>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9</revision>
  <dcterms:created xsi:type="dcterms:W3CDTF">2022-06-30T12:39:00.0000000Z</dcterms:created>
  <dcterms:modified xsi:type="dcterms:W3CDTF">2024-07-09T10:53:36.7633554Z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