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22B53" w14:textId="11EB3371" w:rsidR="00E71ABA" w:rsidRPr="00276350" w:rsidRDefault="00E71ABA" w:rsidP="00E71ABA">
      <w:pPr>
        <w:pStyle w:val="ConferenceTitle"/>
        <w:jc w:val="left"/>
      </w:pPr>
      <w:r>
        <w:t>1</w:t>
      </w:r>
      <w:r w:rsidR="40DAA8DE">
        <w:t>2fed</w:t>
      </w:r>
      <w:r>
        <w:t xml:space="preserve"> Gynhadledd Dysgu ac Addysgu</w:t>
      </w:r>
    </w:p>
    <w:p w14:paraId="24E50398" w14:textId="666BA307" w:rsidR="00E71ABA" w:rsidRPr="00276350" w:rsidRDefault="00E71ABA" w:rsidP="00E71ABA">
      <w:pPr>
        <w:pStyle w:val="ConferenceTitle"/>
        <w:jc w:val="left"/>
      </w:pPr>
      <w:r>
        <w:t>1</w:t>
      </w:r>
      <w:r w:rsidR="5D4F2598">
        <w:t>2</w:t>
      </w:r>
      <w:r>
        <w:t xml:space="preserve">th </w:t>
      </w:r>
      <w:proofErr w:type="spellStart"/>
      <w:r>
        <w:t>Annual</w:t>
      </w:r>
      <w:proofErr w:type="spellEnd"/>
      <w:r>
        <w:t xml:space="preserve"> Learning and Teaching Conference</w:t>
      </w:r>
    </w:p>
    <w:p w14:paraId="406EECF1" w14:textId="2675604B" w:rsidR="46CA81BB" w:rsidRDefault="24330593" w:rsidP="5022735B">
      <w:pPr>
        <w:pStyle w:val="ConferenceTitle"/>
        <w:jc w:val="left"/>
      </w:pPr>
      <w:r>
        <w:t xml:space="preserve">10-12 Medi 2024 </w:t>
      </w:r>
      <w:r w:rsidR="1B4C6B4E">
        <w:t xml:space="preserve">| </w:t>
      </w:r>
      <w:r w:rsidR="1A3B3E1C">
        <w:t>10-12</w:t>
      </w:r>
      <w:r w:rsidR="34BF3054">
        <w:t xml:space="preserve"> </w:t>
      </w:r>
      <w:proofErr w:type="spellStart"/>
      <w:r w:rsidR="77A029E0">
        <w:t>September</w:t>
      </w:r>
      <w:proofErr w:type="spellEnd"/>
      <w:r w:rsidR="77A029E0">
        <w:t xml:space="preserve"> 2024</w:t>
      </w:r>
    </w:p>
    <w:p w14:paraId="5C84F45B" w14:textId="4E727CB1" w:rsidR="66FC4934" w:rsidRDefault="66FC4934" w:rsidP="662F947D">
      <w:pPr>
        <w:pStyle w:val="PaperandAuthor"/>
      </w:pPr>
      <w:r w:rsidRPr="662F947D">
        <w:t xml:space="preserve">Curriculum design for employability development </w:t>
      </w:r>
    </w:p>
    <w:p w14:paraId="0DD1FF1F" w14:textId="1412B360" w:rsidR="66FC4934" w:rsidRDefault="66FC4934" w:rsidP="662F947D">
      <w:pPr>
        <w:pStyle w:val="PaperandAuthor"/>
      </w:pPr>
      <w:r>
        <w:t>Bev Herring</w:t>
      </w:r>
      <w:r w:rsidR="00F613BB">
        <w:t xml:space="preserve"> &amp; Jesse Heley </w:t>
      </w:r>
    </w:p>
    <w:p w14:paraId="0F26B625" w14:textId="4BFF25E0" w:rsidR="603C486A" w:rsidRPr="00F613BB" w:rsidRDefault="603C486A" w:rsidP="662F947D">
      <w:pPr>
        <w:pStyle w:val="PaperandAuthor"/>
        <w:rPr>
          <w:b/>
          <w:bCs/>
        </w:rPr>
      </w:pPr>
      <w:proofErr w:type="spellStart"/>
      <w:r>
        <w:t>Gwasanaeth</w:t>
      </w:r>
      <w:proofErr w:type="spellEnd"/>
      <w:r>
        <w:t xml:space="preserve"> </w:t>
      </w:r>
      <w:proofErr w:type="spellStart"/>
      <w:r>
        <w:t>Gyrfaoedd</w:t>
      </w:r>
      <w:proofErr w:type="spellEnd"/>
      <w:r>
        <w:t xml:space="preserve"> | Careers Service</w:t>
      </w:r>
      <w:r w:rsidR="00F613BB">
        <w:t xml:space="preserve"> &amp; </w:t>
      </w:r>
      <w:proofErr w:type="spellStart"/>
      <w:r w:rsidR="00F613BB" w:rsidRPr="00F613BB">
        <w:t>Daearyddiaeth</w:t>
      </w:r>
      <w:proofErr w:type="spellEnd"/>
      <w:r w:rsidR="00F613BB" w:rsidRPr="00F613BB">
        <w:t xml:space="preserve"> a Gwyddorau </w:t>
      </w:r>
      <w:proofErr w:type="spellStart"/>
      <w:r w:rsidR="00F613BB" w:rsidRPr="00F613BB">
        <w:t>Daear</w:t>
      </w:r>
      <w:proofErr w:type="spellEnd"/>
      <w:r w:rsidR="00F613BB" w:rsidRPr="00F613BB">
        <w:t xml:space="preserve"> |</w:t>
      </w:r>
      <w:r w:rsidR="00F613BB">
        <w:t xml:space="preserve"> Geography and Earth Sciences</w:t>
      </w:r>
    </w:p>
    <w:p w14:paraId="7610B759" w14:textId="4893A25D" w:rsidR="0284A072" w:rsidRDefault="0284A072" w:rsidP="0284A072"/>
    <w:p w14:paraId="3E696D38" w14:textId="3FF9E6A5" w:rsidR="74CEFEE7" w:rsidRDefault="74CEFEE7" w:rsidP="662F947D">
      <w:pPr>
        <w:spacing w:line="257" w:lineRule="auto"/>
      </w:pPr>
      <w:r w:rsidRPr="662F947D">
        <w:rPr>
          <w:rFonts w:eastAsia="Arial" w:cs="Arial"/>
          <w:szCs w:val="24"/>
        </w:rPr>
        <w:t xml:space="preserve">Whatever our role, it’s likely that we can all agree on these three statements. That it would be great if: </w:t>
      </w:r>
    </w:p>
    <w:p w14:paraId="50195CA9" w14:textId="3536E916" w:rsidR="74CEFEE7" w:rsidRDefault="74CEFEE7" w:rsidP="662F947D">
      <w:pPr>
        <w:pStyle w:val="ListParagraph"/>
        <w:numPr>
          <w:ilvl w:val="0"/>
          <w:numId w:val="1"/>
        </w:numPr>
        <w:spacing w:line="257" w:lineRule="auto"/>
        <w:rPr>
          <w:rFonts w:eastAsia="Arial" w:cs="Arial"/>
          <w:szCs w:val="24"/>
        </w:rPr>
      </w:pPr>
      <w:r w:rsidRPr="662F947D">
        <w:rPr>
          <w:rFonts w:eastAsia="Arial" w:cs="Arial"/>
          <w:szCs w:val="24"/>
        </w:rPr>
        <w:t xml:space="preserve">Students enjoyed their degree, and benefitted from it in the longer term </w:t>
      </w:r>
    </w:p>
    <w:p w14:paraId="3227CE3B" w14:textId="32AD2389" w:rsidR="74CEFEE7" w:rsidRDefault="74CEFEE7" w:rsidP="662F947D">
      <w:pPr>
        <w:pStyle w:val="ListParagraph"/>
        <w:numPr>
          <w:ilvl w:val="0"/>
          <w:numId w:val="1"/>
        </w:numPr>
        <w:spacing w:line="257" w:lineRule="auto"/>
      </w:pPr>
      <w:r w:rsidRPr="662F947D">
        <w:rPr>
          <w:rFonts w:eastAsia="Arial" w:cs="Arial"/>
          <w:szCs w:val="24"/>
        </w:rPr>
        <w:t xml:space="preserve">Students could tell employers just why studying their subject made them a great future employee </w:t>
      </w:r>
    </w:p>
    <w:p w14:paraId="343A2A72" w14:textId="3B37A1BA" w:rsidR="74CEFEE7" w:rsidRDefault="74CEFEE7" w:rsidP="662F947D">
      <w:pPr>
        <w:pStyle w:val="ListParagraph"/>
        <w:numPr>
          <w:ilvl w:val="0"/>
          <w:numId w:val="1"/>
        </w:numPr>
        <w:spacing w:line="257" w:lineRule="auto"/>
        <w:rPr>
          <w:rFonts w:eastAsia="Arial" w:cs="Arial"/>
          <w:szCs w:val="24"/>
        </w:rPr>
      </w:pPr>
      <w:r w:rsidRPr="662F947D">
        <w:rPr>
          <w:rFonts w:eastAsia="Arial" w:cs="Arial"/>
          <w:szCs w:val="24"/>
        </w:rPr>
        <w:t xml:space="preserve">In a highly uncertain economic landscape, students’ experience of higher education maximised their chances of employment.  </w:t>
      </w:r>
    </w:p>
    <w:p w14:paraId="1CDA4EAB" w14:textId="3FDAF7B3" w:rsidR="74CEFEE7" w:rsidRDefault="74CEFEE7" w:rsidP="662F947D">
      <w:pPr>
        <w:spacing w:line="257" w:lineRule="auto"/>
      </w:pPr>
      <w:r w:rsidRPr="662F947D">
        <w:rPr>
          <w:rFonts w:eastAsia="Arial" w:cs="Arial"/>
          <w:szCs w:val="24"/>
        </w:rPr>
        <w:t>You’ll be introduced to an approach that encourages course teams to review their existing degree programme curriculum together to design a visual student development journey that enhances the in and extra-curricular employability development journey across the whole student lifecycle. In doing so, learning outcomes and activities are effectively and intentionally mapped across the degree cycle, preventing any duplication or gaps in content and skills development and consequently ensuring the benefits are explicitly communicated, understood and articulated by our students.</w:t>
      </w:r>
    </w:p>
    <w:p w14:paraId="10342624" w14:textId="4FB452AD" w:rsidR="74CEFEE7" w:rsidRDefault="74CEFEE7" w:rsidP="662F947D">
      <w:pPr>
        <w:spacing w:line="257" w:lineRule="auto"/>
      </w:pPr>
      <w:r w:rsidRPr="662F947D">
        <w:rPr>
          <w:rFonts w:eastAsia="Arial" w:cs="Arial"/>
          <w:szCs w:val="24"/>
        </w:rPr>
        <w:t>There will be an opportunity to hear from academic colleagues who have recently engaged in the process.</w:t>
      </w:r>
    </w:p>
    <w:p w14:paraId="2A323BA5" w14:textId="172F0285" w:rsidR="662F947D" w:rsidRDefault="662F947D" w:rsidP="662F947D">
      <w:pPr>
        <w:spacing w:line="257" w:lineRule="auto"/>
        <w:rPr>
          <w:rFonts w:eastAsia="Arial" w:cs="Arial"/>
          <w:szCs w:val="24"/>
        </w:rPr>
      </w:pPr>
    </w:p>
    <w:p w14:paraId="17139705" w14:textId="0FD1BF91" w:rsidR="1C1B5141" w:rsidRDefault="1C1B5141" w:rsidP="1C1B5141"/>
    <w:p w14:paraId="36BF7A34" w14:textId="6015A9FE" w:rsidR="246B0DBC" w:rsidRDefault="246B0DBC" w:rsidP="0EF4E167">
      <w:pPr>
        <w:pStyle w:val="PaperandAuthor"/>
      </w:pPr>
    </w:p>
    <w:p w14:paraId="5EB08F89" w14:textId="58A5FB2F" w:rsidR="00280F5A" w:rsidRPr="003932AC" w:rsidRDefault="00280F5A" w:rsidP="0284A072">
      <w:pPr>
        <w:pStyle w:val="paragraph"/>
        <w:spacing w:before="0" w:beforeAutospacing="0" w:after="0" w:afterAutospacing="0"/>
        <w:textAlignment w:val="baseline"/>
        <w:rPr>
          <w:rFonts w:cs="Arial"/>
        </w:rPr>
      </w:pPr>
    </w:p>
    <w:p w14:paraId="7109FFF8" w14:textId="17D4775A" w:rsidR="005E43E9" w:rsidRPr="005E43E9" w:rsidRDefault="6F4D581C" w:rsidP="5022735B">
      <w:pPr>
        <w:jc w:val="center"/>
      </w:pPr>
      <w:r>
        <w:rPr>
          <w:noProof/>
        </w:rPr>
        <w:drawing>
          <wp:inline distT="0" distB="0" distL="0" distR="0" wp14:anchorId="23ED193C" wp14:editId="165CD8C5">
            <wp:extent cx="1323378" cy="1323378"/>
            <wp:effectExtent l="0" t="0" r="0" b="0"/>
            <wp:docPr id="1230280489" name="Picture 123028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378" cy="1323378"/>
                    </a:xfrm>
                    <a:prstGeom prst="rect">
                      <a:avLst/>
                    </a:prstGeom>
                  </pic:spPr>
                </pic:pic>
              </a:graphicData>
            </a:graphic>
          </wp:inline>
        </w:drawing>
      </w:r>
    </w:p>
    <w:p w14:paraId="306C0A70" w14:textId="1649C1B2" w:rsidR="005E43E9" w:rsidRPr="005E43E9" w:rsidRDefault="005E43E9" w:rsidP="005E43E9"/>
    <w:p w14:paraId="2945C4D6" w14:textId="77777777" w:rsidR="00E71ABA" w:rsidRPr="00E71ABA" w:rsidRDefault="00E71ABA" w:rsidP="00E71ABA"/>
    <w:sectPr w:rsidR="00E71ABA" w:rsidRPr="00E71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hfKuokTaviSwe7" int2:id="P7PugL3m">
      <int2:state int2:value="Rejected" int2:type="AugLoop_Text_Critique"/>
    </int2:textHash>
    <int2:textHash int2:hashCode="gP9p1fW1XOZl+G" int2:id="JlreMpx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2119C"/>
    <w:multiLevelType w:val="hybridMultilevel"/>
    <w:tmpl w:val="E81AC148"/>
    <w:lvl w:ilvl="0" w:tplc="67548A7E">
      <w:start w:val="1"/>
      <w:numFmt w:val="bullet"/>
      <w:lvlText w:val=""/>
      <w:lvlJc w:val="left"/>
      <w:pPr>
        <w:ind w:left="720" w:hanging="360"/>
      </w:pPr>
      <w:rPr>
        <w:rFonts w:ascii="Symbol" w:hAnsi="Symbol" w:hint="default"/>
      </w:rPr>
    </w:lvl>
    <w:lvl w:ilvl="1" w:tplc="8D4079B8">
      <w:start w:val="1"/>
      <w:numFmt w:val="bullet"/>
      <w:lvlText w:val="o"/>
      <w:lvlJc w:val="left"/>
      <w:pPr>
        <w:ind w:left="1440" w:hanging="360"/>
      </w:pPr>
      <w:rPr>
        <w:rFonts w:ascii="Courier New" w:hAnsi="Courier New" w:hint="default"/>
      </w:rPr>
    </w:lvl>
    <w:lvl w:ilvl="2" w:tplc="2CD8A178">
      <w:start w:val="1"/>
      <w:numFmt w:val="bullet"/>
      <w:lvlText w:val=""/>
      <w:lvlJc w:val="left"/>
      <w:pPr>
        <w:ind w:left="2160" w:hanging="360"/>
      </w:pPr>
      <w:rPr>
        <w:rFonts w:ascii="Wingdings" w:hAnsi="Wingdings" w:hint="default"/>
      </w:rPr>
    </w:lvl>
    <w:lvl w:ilvl="3" w:tplc="E6A03CF0">
      <w:start w:val="1"/>
      <w:numFmt w:val="bullet"/>
      <w:lvlText w:val=""/>
      <w:lvlJc w:val="left"/>
      <w:pPr>
        <w:ind w:left="2880" w:hanging="360"/>
      </w:pPr>
      <w:rPr>
        <w:rFonts w:ascii="Symbol" w:hAnsi="Symbol" w:hint="default"/>
      </w:rPr>
    </w:lvl>
    <w:lvl w:ilvl="4" w:tplc="4E965EE4">
      <w:start w:val="1"/>
      <w:numFmt w:val="bullet"/>
      <w:lvlText w:val="o"/>
      <w:lvlJc w:val="left"/>
      <w:pPr>
        <w:ind w:left="3600" w:hanging="360"/>
      </w:pPr>
      <w:rPr>
        <w:rFonts w:ascii="Courier New" w:hAnsi="Courier New" w:hint="default"/>
      </w:rPr>
    </w:lvl>
    <w:lvl w:ilvl="5" w:tplc="BD5E5A10">
      <w:start w:val="1"/>
      <w:numFmt w:val="bullet"/>
      <w:lvlText w:val=""/>
      <w:lvlJc w:val="left"/>
      <w:pPr>
        <w:ind w:left="4320" w:hanging="360"/>
      </w:pPr>
      <w:rPr>
        <w:rFonts w:ascii="Wingdings" w:hAnsi="Wingdings" w:hint="default"/>
      </w:rPr>
    </w:lvl>
    <w:lvl w:ilvl="6" w:tplc="8FDC5B62">
      <w:start w:val="1"/>
      <w:numFmt w:val="bullet"/>
      <w:lvlText w:val=""/>
      <w:lvlJc w:val="left"/>
      <w:pPr>
        <w:ind w:left="5040" w:hanging="360"/>
      </w:pPr>
      <w:rPr>
        <w:rFonts w:ascii="Symbol" w:hAnsi="Symbol" w:hint="default"/>
      </w:rPr>
    </w:lvl>
    <w:lvl w:ilvl="7" w:tplc="4EBABA82">
      <w:start w:val="1"/>
      <w:numFmt w:val="bullet"/>
      <w:lvlText w:val="o"/>
      <w:lvlJc w:val="left"/>
      <w:pPr>
        <w:ind w:left="5760" w:hanging="360"/>
      </w:pPr>
      <w:rPr>
        <w:rFonts w:ascii="Courier New" w:hAnsi="Courier New" w:hint="default"/>
      </w:rPr>
    </w:lvl>
    <w:lvl w:ilvl="8" w:tplc="8BD87A32">
      <w:start w:val="1"/>
      <w:numFmt w:val="bullet"/>
      <w:lvlText w:val=""/>
      <w:lvlJc w:val="left"/>
      <w:pPr>
        <w:ind w:left="6480" w:hanging="360"/>
      </w:pPr>
      <w:rPr>
        <w:rFonts w:ascii="Wingdings" w:hAnsi="Wingdings" w:hint="default"/>
      </w:rPr>
    </w:lvl>
  </w:abstractNum>
  <w:abstractNum w:abstractNumId="2" w15:restartNumberingAfterBreak="0">
    <w:nsid w:val="39B91FDD"/>
    <w:multiLevelType w:val="multilevel"/>
    <w:tmpl w:val="205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9126CC"/>
    <w:multiLevelType w:val="hybridMultilevel"/>
    <w:tmpl w:val="3EB2B73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753AEF5D"/>
    <w:multiLevelType w:val="hybridMultilevel"/>
    <w:tmpl w:val="44A00470"/>
    <w:lvl w:ilvl="0" w:tplc="9F0875F2">
      <w:start w:val="1"/>
      <w:numFmt w:val="bullet"/>
      <w:lvlText w:val=""/>
      <w:lvlJc w:val="left"/>
      <w:pPr>
        <w:ind w:left="720" w:hanging="360"/>
      </w:pPr>
      <w:rPr>
        <w:rFonts w:ascii="Symbol" w:hAnsi="Symbol" w:hint="default"/>
      </w:rPr>
    </w:lvl>
    <w:lvl w:ilvl="1" w:tplc="658057C6">
      <w:start w:val="1"/>
      <w:numFmt w:val="bullet"/>
      <w:lvlText w:val="o"/>
      <w:lvlJc w:val="left"/>
      <w:pPr>
        <w:ind w:left="1440" w:hanging="360"/>
      </w:pPr>
      <w:rPr>
        <w:rFonts w:ascii="Courier New" w:hAnsi="Courier New" w:hint="default"/>
      </w:rPr>
    </w:lvl>
    <w:lvl w:ilvl="2" w:tplc="C49C1D08">
      <w:start w:val="1"/>
      <w:numFmt w:val="bullet"/>
      <w:lvlText w:val=""/>
      <w:lvlJc w:val="left"/>
      <w:pPr>
        <w:ind w:left="2160" w:hanging="360"/>
      </w:pPr>
      <w:rPr>
        <w:rFonts w:ascii="Wingdings" w:hAnsi="Wingdings" w:hint="default"/>
      </w:rPr>
    </w:lvl>
    <w:lvl w:ilvl="3" w:tplc="43F6A51E">
      <w:start w:val="1"/>
      <w:numFmt w:val="bullet"/>
      <w:lvlText w:val=""/>
      <w:lvlJc w:val="left"/>
      <w:pPr>
        <w:ind w:left="2880" w:hanging="360"/>
      </w:pPr>
      <w:rPr>
        <w:rFonts w:ascii="Symbol" w:hAnsi="Symbol" w:hint="default"/>
      </w:rPr>
    </w:lvl>
    <w:lvl w:ilvl="4" w:tplc="042E9DF4">
      <w:start w:val="1"/>
      <w:numFmt w:val="bullet"/>
      <w:lvlText w:val="o"/>
      <w:lvlJc w:val="left"/>
      <w:pPr>
        <w:ind w:left="3600" w:hanging="360"/>
      </w:pPr>
      <w:rPr>
        <w:rFonts w:ascii="Courier New" w:hAnsi="Courier New" w:hint="default"/>
      </w:rPr>
    </w:lvl>
    <w:lvl w:ilvl="5" w:tplc="0B180B1A">
      <w:start w:val="1"/>
      <w:numFmt w:val="bullet"/>
      <w:lvlText w:val=""/>
      <w:lvlJc w:val="left"/>
      <w:pPr>
        <w:ind w:left="4320" w:hanging="360"/>
      </w:pPr>
      <w:rPr>
        <w:rFonts w:ascii="Wingdings" w:hAnsi="Wingdings" w:hint="default"/>
      </w:rPr>
    </w:lvl>
    <w:lvl w:ilvl="6" w:tplc="1F5C7618">
      <w:start w:val="1"/>
      <w:numFmt w:val="bullet"/>
      <w:lvlText w:val=""/>
      <w:lvlJc w:val="left"/>
      <w:pPr>
        <w:ind w:left="5040" w:hanging="360"/>
      </w:pPr>
      <w:rPr>
        <w:rFonts w:ascii="Symbol" w:hAnsi="Symbol" w:hint="default"/>
      </w:rPr>
    </w:lvl>
    <w:lvl w:ilvl="7" w:tplc="0BEA83C0">
      <w:start w:val="1"/>
      <w:numFmt w:val="bullet"/>
      <w:lvlText w:val="o"/>
      <w:lvlJc w:val="left"/>
      <w:pPr>
        <w:ind w:left="5760" w:hanging="360"/>
      </w:pPr>
      <w:rPr>
        <w:rFonts w:ascii="Courier New" w:hAnsi="Courier New" w:hint="default"/>
      </w:rPr>
    </w:lvl>
    <w:lvl w:ilvl="8" w:tplc="EBEC8324">
      <w:start w:val="1"/>
      <w:numFmt w:val="bullet"/>
      <w:lvlText w:val=""/>
      <w:lvlJc w:val="left"/>
      <w:pPr>
        <w:ind w:left="6480" w:hanging="360"/>
      </w:pPr>
      <w:rPr>
        <w:rFonts w:ascii="Wingdings" w:hAnsi="Wingdings" w:hint="default"/>
      </w:rPr>
    </w:lvl>
  </w:abstractNum>
  <w:num w:numId="1" w16cid:durableId="1530289896">
    <w:abstractNumId w:val="1"/>
  </w:num>
  <w:num w:numId="2" w16cid:durableId="503669283">
    <w:abstractNumId w:val="5"/>
  </w:num>
  <w:num w:numId="3" w16cid:durableId="499857109">
    <w:abstractNumId w:val="3"/>
  </w:num>
  <w:num w:numId="4" w16cid:durableId="1405178110">
    <w:abstractNumId w:val="0"/>
  </w:num>
  <w:num w:numId="5" w16cid:durableId="111484517">
    <w:abstractNumId w:val="4"/>
  </w:num>
  <w:num w:numId="6" w16cid:durableId="1750344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9073C"/>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0F613BB"/>
    <w:rsid w:val="0284A072"/>
    <w:rsid w:val="0974B0FC"/>
    <w:rsid w:val="0DCF319A"/>
    <w:rsid w:val="0EF4E167"/>
    <w:rsid w:val="0F45F81E"/>
    <w:rsid w:val="1A3B3E1C"/>
    <w:rsid w:val="1B4C6B4E"/>
    <w:rsid w:val="1B906CC7"/>
    <w:rsid w:val="1C1B5141"/>
    <w:rsid w:val="1F5C8AEB"/>
    <w:rsid w:val="24330593"/>
    <w:rsid w:val="246B0DBC"/>
    <w:rsid w:val="253851A3"/>
    <w:rsid w:val="26350404"/>
    <w:rsid w:val="27DBA2FF"/>
    <w:rsid w:val="2890540E"/>
    <w:rsid w:val="2C4E6DF6"/>
    <w:rsid w:val="2F2A76F3"/>
    <w:rsid w:val="32683A42"/>
    <w:rsid w:val="34BF3054"/>
    <w:rsid w:val="3D5854B3"/>
    <w:rsid w:val="3D848606"/>
    <w:rsid w:val="40BBDF7C"/>
    <w:rsid w:val="40DAA8DE"/>
    <w:rsid w:val="46CA81BB"/>
    <w:rsid w:val="474A1229"/>
    <w:rsid w:val="4D449ACC"/>
    <w:rsid w:val="4E8C46D1"/>
    <w:rsid w:val="4EB0E714"/>
    <w:rsid w:val="5022735B"/>
    <w:rsid w:val="50958F1B"/>
    <w:rsid w:val="54D6C478"/>
    <w:rsid w:val="5C8C1A01"/>
    <w:rsid w:val="5CAA9A6F"/>
    <w:rsid w:val="5D4F2598"/>
    <w:rsid w:val="5D777A54"/>
    <w:rsid w:val="5FCFA8DA"/>
    <w:rsid w:val="603C486A"/>
    <w:rsid w:val="610449C3"/>
    <w:rsid w:val="61E9EC74"/>
    <w:rsid w:val="638D3317"/>
    <w:rsid w:val="65E23AD3"/>
    <w:rsid w:val="662F947D"/>
    <w:rsid w:val="66FC4934"/>
    <w:rsid w:val="6A41E626"/>
    <w:rsid w:val="6A74791F"/>
    <w:rsid w:val="6BC3D728"/>
    <w:rsid w:val="6CE177CC"/>
    <w:rsid w:val="6F4D581C"/>
    <w:rsid w:val="728795FF"/>
    <w:rsid w:val="74CEFEE7"/>
    <w:rsid w:val="77A029E0"/>
    <w:rsid w:val="77BA9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BA"/>
    <w:rPr>
      <w:rFonts w:asciiTheme="majorHAnsi" w:eastAsiaTheme="majorEastAsia" w:hAnsiTheme="majorHAnsi" w:cstheme="majorBidi"/>
      <w:spacing w:val="-10"/>
      <w:kern w:val="28"/>
      <w:sz w:val="56"/>
      <w:szCs w:val="56"/>
    </w:rPr>
  </w:style>
  <w:style w:type="paragraph" w:customStyle="1" w:styleId="ConferenceTitle">
    <w:name w:val="Conference Title"/>
    <w:basedOn w:val="Title"/>
    <w:qFormat/>
    <w:rsid w:val="00E71ABA"/>
    <w:pPr>
      <w:jc w:val="right"/>
    </w:pPr>
    <w:rPr>
      <w:rFonts w:ascii="Arial" w:hAnsi="Arial" w:cs="Arial"/>
      <w:sz w:val="40"/>
      <w:lang w:val="cy-GB"/>
    </w:rPr>
  </w:style>
  <w:style w:type="paragraph" w:customStyle="1" w:styleId="Style1">
    <w:name w:val="Style1"/>
    <w:basedOn w:val="Normal"/>
    <w:qFormat/>
    <w:rsid w:val="00E71ABA"/>
  </w:style>
  <w:style w:type="character" w:customStyle="1" w:styleId="Heading2Char">
    <w:name w:val="Heading 2 Char"/>
    <w:basedOn w:val="DefaultParagraphFont"/>
    <w:link w:val="Heading2"/>
    <w:uiPriority w:val="9"/>
    <w:rsid w:val="00E71ABA"/>
    <w:rPr>
      <w:rFonts w:asciiTheme="majorHAnsi" w:eastAsiaTheme="majorEastAsia" w:hAnsiTheme="majorHAnsi" w:cstheme="majorBidi"/>
      <w:color w:val="2F5496" w:themeColor="accent1" w:themeShade="BF"/>
      <w:sz w:val="26"/>
      <w:szCs w:val="26"/>
    </w:rPr>
  </w:style>
  <w:style w:type="paragraph" w:customStyle="1" w:styleId="Abstracts">
    <w:name w:val="Abstracts"/>
    <w:basedOn w:val="Heading2"/>
    <w:qFormat/>
    <w:rsid w:val="00E71ABA"/>
    <w:rPr>
      <w:rFonts w:ascii="Arial" w:hAnsi="Arial" w:cs="Arial"/>
      <w:color w:val="000000" w:themeColor="text1"/>
      <w:sz w:val="28"/>
      <w:szCs w:val="28"/>
      <w:lang w:val="cy-GB"/>
    </w:rPr>
  </w:style>
  <w:style w:type="character" w:customStyle="1" w:styleId="Heading1Char">
    <w:name w:val="Heading 1 Char"/>
    <w:basedOn w:val="DefaultParagraphFont"/>
    <w:link w:val="Heading1"/>
    <w:uiPriority w:val="9"/>
    <w:rsid w:val="005E43E9"/>
    <w:rPr>
      <w:rFonts w:asciiTheme="majorHAnsi" w:eastAsiaTheme="majorEastAsia" w:hAnsiTheme="majorHAnsi" w:cstheme="majorBidi"/>
      <w:color w:val="2F5496" w:themeColor="accent1" w:themeShade="BF"/>
      <w:sz w:val="32"/>
      <w:szCs w:val="32"/>
    </w:rPr>
  </w:style>
  <w:style w:type="paragraph" w:customStyle="1" w:styleId="PaperandAuthor">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932A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932AC"/>
  </w:style>
  <w:style w:type="character" w:customStyle="1" w:styleId="eop">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791053173">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Props1.xml><?xml version="1.0" encoding="utf-8"?>
<ds:datastoreItem xmlns:ds="http://schemas.openxmlformats.org/officeDocument/2006/customXml" ds:itemID="{3E074337-0AA3-4D89-8266-998A210783D7}">
  <ds:schemaRefs>
    <ds:schemaRef ds:uri="http://schemas.microsoft.com/sharepoint/v3/contenttype/forms"/>
  </ds:schemaRefs>
</ds:datastoreItem>
</file>

<file path=customXml/itemProps2.xml><?xml version="1.0" encoding="utf-8"?>
<ds:datastoreItem xmlns:ds="http://schemas.openxmlformats.org/officeDocument/2006/customXml" ds:itemID="{A991A31D-4B34-4F2F-BFBB-C14576C71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dc:creator>
  <cp:keywords/>
  <dc:description/>
  <cp:lastModifiedBy>James Woolley [jbw] (Staff)</cp:lastModifiedBy>
  <cp:revision>2</cp:revision>
  <dcterms:created xsi:type="dcterms:W3CDTF">2024-08-08T15:32:00Z</dcterms:created>
  <dcterms:modified xsi:type="dcterms:W3CDTF">2024-08-08T15:32:00Z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