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4EC76F4" w14:textId="77777777" w:rsidR="003F7B89" w:rsidRDefault="003F7B89" w:rsidP="003F7B89">
      <w:pPr>
        <w:pStyle w:val="Title"/>
      </w:pPr>
      <w:r>
        <w:t xml:space="preserve">Teaching Through Student Participation in Global Meetings </w:t>
      </w:r>
    </w:p>
    <w:p w14:paraId="7E9C1706" w14:textId="77777777" w:rsidR="003F7B89" w:rsidRDefault="003F7B89" w:rsidP="003F7B89">
      <w:pPr>
        <w:pStyle w:val="Title"/>
      </w:pPr>
      <w:r>
        <w:t xml:space="preserve">Madeline </w:t>
      </w:r>
      <w:proofErr w:type="spellStart"/>
      <w:r>
        <w:t>Carr</w:t>
      </w:r>
      <w:proofErr w:type="spellEnd"/>
    </w:p>
    <w:p w14:paraId="452C3DB6" w14:textId="77777777" w:rsidR="003F7B89" w:rsidRPr="00732CE6" w:rsidRDefault="003F7B89" w:rsidP="003F7B89">
      <w:pPr>
        <w:spacing w:after="0" w:line="360" w:lineRule="auto"/>
      </w:pPr>
      <w:r w:rsidRPr="00732CE6">
        <w:t>Increasingly, meetings, lectures and conferences of global significance are available online – either live or shortly after as a video archive. One of these, the United Nations Internet Governance Forum, allows for live remote participation. For students studying the complexities of global internet governance, few experiences can highlight the competing agendas, current debates and political manoeuvrings as powerfully as actively participating in the meeting. By established Aberystwyth University as a ‘remote hub’ for the UNIGF, we have been able to integrate the meeting into our teaching program. Rather than passively reading about internet governance, students involved in the UNIGF remote hub develop a sense of urgency through participation. Students research key actors and proposals prior to the meeting and then prepare potential questions based on the schedule of panel presentations. During the meeting, students log in remotely, follow the speakers and pose questions directly to the panel. This has proven a highly effective way of engaging students in the subject matter and extending their comprehension and analysis of the issues surrounding the global governance of the internet</w:t>
      </w:r>
      <w:r>
        <w:t>.</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3F7B89"/>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2022-03-31T11:41:00Z</dcterms:created>
  <dcterms:modified xsi:type="dcterms:W3CDTF">2022-03-31T11:41:00Z</dcterms:modified>
</cp:coreProperties>
</file>